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7999" w14:textId="77777777" w:rsidR="005C3A89" w:rsidRPr="00AE5418" w:rsidRDefault="005C3A89" w:rsidP="005C3A89">
      <w:pPr>
        <w:spacing w:after="0" w:line="360" w:lineRule="auto"/>
        <w:jc w:val="both"/>
        <w:rPr>
          <w:rStyle w:val="normaltextrun"/>
          <w:rFonts w:eastAsiaTheme="minorEastAsia"/>
          <w:bCs/>
          <w:color w:val="10069F"/>
          <w:sz w:val="20"/>
          <w:szCs w:val="20"/>
          <w:shd w:val="clear" w:color="auto" w:fill="FFFFFF"/>
        </w:rPr>
      </w:pP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Segunda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 xml:space="preserve"> convocatoria de subvenciones (202</w:t>
      </w: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4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) en concurrencia competitiva de proyectos para la digitalización de comunidades de usuarios de agua para regadío en el marco del Plan de Recuperación, Transformación y Resiliencia (PERTE Digitalización del Ciclo del Agua)</w:t>
      </w:r>
      <w:r w:rsidRPr="00AE5418">
        <w:rPr>
          <w:rStyle w:val="normaltextrun"/>
          <w:rFonts w:eastAsiaTheme="minorEastAsia"/>
          <w:b/>
          <w:bCs/>
          <w:sz w:val="20"/>
          <w:szCs w:val="20"/>
        </w:rPr>
        <w:t> </w:t>
      </w:r>
    </w:p>
    <w:p w14:paraId="31F9C098" w14:textId="77777777" w:rsidR="0073260F" w:rsidRPr="006D6165" w:rsidRDefault="0073260F" w:rsidP="006D6165">
      <w:pPr>
        <w:spacing w:after="0" w:line="360" w:lineRule="auto"/>
        <w:ind w:left="709" w:hanging="709"/>
        <w:jc w:val="center"/>
        <w:rPr>
          <w:rFonts w:ascii="Arial" w:hAnsi="Arial" w:cs="Arial"/>
          <w:b/>
          <w:sz w:val="20"/>
          <w:szCs w:val="20"/>
        </w:rPr>
      </w:pPr>
    </w:p>
    <w:p w14:paraId="555E5BE3" w14:textId="123DDADC" w:rsidR="00105491" w:rsidRPr="006D6165" w:rsidRDefault="008E1186" w:rsidP="006D616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D6165">
        <w:rPr>
          <w:rFonts w:ascii="Arial" w:hAnsi="Arial" w:cs="Arial"/>
          <w:b/>
          <w:sz w:val="20"/>
          <w:szCs w:val="20"/>
        </w:rPr>
        <w:t xml:space="preserve">ANEXO </w:t>
      </w:r>
      <w:r w:rsidR="00E93288" w:rsidRPr="006D6165">
        <w:rPr>
          <w:rFonts w:ascii="Arial" w:hAnsi="Arial" w:cs="Arial"/>
          <w:b/>
          <w:sz w:val="20"/>
          <w:szCs w:val="20"/>
        </w:rPr>
        <w:t>4</w:t>
      </w:r>
      <w:r w:rsidRPr="006D6165">
        <w:rPr>
          <w:rFonts w:ascii="Arial" w:hAnsi="Arial" w:cs="Arial"/>
          <w:b/>
          <w:sz w:val="20"/>
          <w:szCs w:val="20"/>
        </w:rPr>
        <w:t>.</w:t>
      </w:r>
      <w:r w:rsidR="00B71F6F" w:rsidRPr="006D6165">
        <w:rPr>
          <w:rFonts w:ascii="Arial" w:hAnsi="Arial" w:cs="Arial"/>
          <w:b/>
          <w:sz w:val="20"/>
          <w:szCs w:val="20"/>
        </w:rPr>
        <w:t>3</w:t>
      </w:r>
      <w:r w:rsidRPr="006D6165">
        <w:rPr>
          <w:rFonts w:ascii="Arial" w:hAnsi="Arial" w:cs="Arial"/>
          <w:b/>
          <w:sz w:val="20"/>
          <w:szCs w:val="20"/>
        </w:rPr>
        <w:t xml:space="preserve"> </w:t>
      </w:r>
      <w:r w:rsidR="00B71F6F" w:rsidRPr="006D6165">
        <w:rPr>
          <w:rFonts w:ascii="Arial" w:hAnsi="Arial" w:cs="Arial"/>
          <w:b/>
          <w:sz w:val="20"/>
          <w:szCs w:val="20"/>
        </w:rPr>
        <w:t>DECLARACIÓN DE ESTAR AL CORRIENTE DE LAS OBLIGACIONES DE REEMBOLSO</w:t>
      </w:r>
    </w:p>
    <w:p w14:paraId="1FF7F70C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CD4A33" w14:textId="4F2772E8" w:rsidR="006741C1" w:rsidRPr="006D6165" w:rsidRDefault="006741C1" w:rsidP="006D616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b/>
          <w:sz w:val="20"/>
          <w:szCs w:val="20"/>
        </w:rPr>
        <w:t xml:space="preserve">Nº EXPEDIENTE: </w:t>
      </w:r>
      <w:sdt>
        <w:sdtPr>
          <w:rPr>
            <w:rFonts w:ascii="Arial" w:hAnsi="Arial" w:cs="Arial"/>
            <w:sz w:val="20"/>
            <w:szCs w:val="20"/>
          </w:rPr>
          <w:id w:val="70321372"/>
          <w:placeholder>
            <w:docPart w:val="EF89398A737E4EF98006CFA83D846774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sz w:val="20"/>
          <w:szCs w:val="20"/>
        </w:rPr>
        <w:t xml:space="preserve"> </w:t>
      </w:r>
    </w:p>
    <w:p w14:paraId="0CA43AE8" w14:textId="43A149CA" w:rsidR="006741C1" w:rsidRPr="006D6165" w:rsidRDefault="006741C1" w:rsidP="006D616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b/>
          <w:sz w:val="20"/>
          <w:szCs w:val="20"/>
        </w:rPr>
        <w:t>NOMBRE DEL PROYECTO:</w:t>
      </w:r>
      <w:r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27290858"/>
          <w:placeholder>
            <w:docPart w:val="710DD96D4FF246F0ACC63A4CEA014619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1374887C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A4CB58" w14:textId="7519299A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t xml:space="preserve">Don/Doña </w:t>
      </w:r>
      <w:sdt>
        <w:sdtPr>
          <w:rPr>
            <w:rFonts w:ascii="Arial" w:hAnsi="Arial" w:cs="Arial"/>
            <w:sz w:val="20"/>
            <w:szCs w:val="20"/>
          </w:rPr>
          <w:id w:val="1807124642"/>
          <w:placeholder>
            <w:docPart w:val="1F266994734743FD9D93A4586838B98C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bCs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 con DNI </w:t>
      </w:r>
      <w:sdt>
        <w:sdtPr>
          <w:rPr>
            <w:rFonts w:ascii="Arial" w:hAnsi="Arial" w:cs="Arial"/>
            <w:sz w:val="20"/>
            <w:szCs w:val="20"/>
          </w:rPr>
          <w:id w:val="-1944835897"/>
          <w:placeholder>
            <w:docPart w:val="5D78A4BF24EC4CE9BB3D8D3379421E25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bCs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>en representación de la entidad</w:t>
      </w:r>
      <w:r w:rsidR="00DF2FC2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97327940"/>
          <w:placeholder>
            <w:docPart w:val="8F48FD2FA06B41B3970887C8B7809D82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>
        <w:rPr>
          <w:rFonts w:ascii="Arial" w:hAnsi="Arial" w:cs="Arial"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con NIF </w:t>
      </w:r>
      <w:r w:rsidR="00DF2FC2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18644758"/>
          <w:placeholder>
            <w:docPart w:val="95AE7D8074D342BEBF505B0A617BD8D4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6519E80D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6C4CBD" w14:textId="470A8F03" w:rsidR="00E546FA" w:rsidRPr="006D6165" w:rsidRDefault="00E546FA" w:rsidP="002C73D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>Conforme con lo establecido en el artículo 35.2</w:t>
      </w:r>
      <w:r w:rsidR="00B71F6F" w:rsidRPr="006D6165">
        <w:rPr>
          <w:rStyle w:val="normaltextrun"/>
          <w:rFonts w:ascii="Arial" w:hAnsi="Arial" w:cs="Arial"/>
          <w:color w:val="000000"/>
          <w:sz w:val="20"/>
          <w:szCs w:val="20"/>
        </w:rPr>
        <w:t>.d)</w:t>
      </w: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 de la Orden TED/918/2023, de 21 de julio </w:t>
      </w:r>
      <w:r w:rsidR="001F19A7">
        <w:rPr>
          <w:rStyle w:val="normaltextrun"/>
          <w:rFonts w:ascii="Arial" w:hAnsi="Arial" w:cs="Arial"/>
          <w:color w:val="000000"/>
          <w:sz w:val="20"/>
          <w:szCs w:val="20"/>
        </w:rPr>
        <w:t xml:space="preserve">y el artículo 6.2.d) de la Orden TED/1148/2024, de 18 de octubre. </w:t>
      </w:r>
      <w:r w:rsidR="00B71F6F" w:rsidRPr="006D6165">
        <w:rPr>
          <w:rFonts w:ascii="Arial" w:hAnsi="Arial" w:cs="Arial"/>
          <w:sz w:val="20"/>
          <w:szCs w:val="20"/>
        </w:rPr>
        <w:t>Las entidades beneficiarias de los anticipos deberán acreditar que se encuentran al corriente del pago de las obligaciones de reembolso de cualesquiera otros préstamos o anticipos concedidos anteriormente con cargo a los créditos específicamente consignados para la gestión de estos fondos en los Presupuestos Generales del Estado.</w:t>
      </w:r>
    </w:p>
    <w:p w14:paraId="54FA084D" w14:textId="77777777" w:rsidR="00E942CB" w:rsidRPr="006D6165" w:rsidRDefault="00E942CB" w:rsidP="006D6165">
      <w:pPr>
        <w:pStyle w:val="paragraph"/>
        <w:spacing w:before="0" w:beforeAutospacing="0" w:after="0" w:afterAutospacing="0" w:line="360" w:lineRule="auto"/>
        <w:ind w:left="106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D616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71D5C00" w14:textId="77777777" w:rsidR="00287292" w:rsidRPr="002C73DA" w:rsidRDefault="00287292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C73DA">
        <w:rPr>
          <w:rFonts w:ascii="Arial" w:hAnsi="Arial" w:cs="Arial"/>
          <w:b/>
          <w:bCs/>
          <w:sz w:val="20"/>
          <w:szCs w:val="20"/>
        </w:rPr>
        <w:t>DECLARA:</w:t>
      </w:r>
    </w:p>
    <w:p w14:paraId="0B159524" w14:textId="77777777" w:rsidR="00E546FA" w:rsidRPr="006D6165" w:rsidRDefault="00E546FA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66FB92" w14:textId="32C80363" w:rsidR="00287292" w:rsidRPr="006D6165" w:rsidRDefault="00287292" w:rsidP="002C73DA">
      <w:pPr>
        <w:pStyle w:val="Default"/>
        <w:spacing w:line="360" w:lineRule="auto"/>
        <w:jc w:val="both"/>
        <w:rPr>
          <w:rFonts w:ascii="Arial" w:hAnsi="Arial" w:cs="Arial"/>
        </w:rPr>
      </w:pPr>
      <w:r w:rsidRPr="006D6165">
        <w:rPr>
          <w:rFonts w:ascii="Arial" w:hAnsi="Arial" w:cs="Arial"/>
          <w:sz w:val="20"/>
          <w:szCs w:val="20"/>
        </w:rPr>
        <w:t>Que la entidad</w:t>
      </w:r>
      <w:r w:rsidR="00E93288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965201"/>
          <w:placeholder>
            <w:docPart w:val="CB70B73BF66949E7B869170004BF86DE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>
        <w:rPr>
          <w:rFonts w:ascii="Arial" w:hAnsi="Arial" w:cs="Arial"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ha resultado beneficiaria de la </w:t>
      </w:r>
      <w:r w:rsidR="00C74865">
        <w:rPr>
          <w:rFonts w:ascii="Arial" w:hAnsi="Arial" w:cs="Arial"/>
          <w:sz w:val="20"/>
          <w:szCs w:val="20"/>
        </w:rPr>
        <w:t>segunda</w:t>
      </w:r>
      <w:r w:rsidRPr="006D6165">
        <w:rPr>
          <w:rFonts w:ascii="Arial" w:hAnsi="Arial" w:cs="Arial"/>
          <w:sz w:val="20"/>
          <w:szCs w:val="20"/>
        </w:rPr>
        <w:t xml:space="preserve"> convocatoria de subvenciones (202</w:t>
      </w:r>
      <w:r w:rsidR="00C74865">
        <w:rPr>
          <w:rFonts w:ascii="Arial" w:hAnsi="Arial" w:cs="Arial"/>
          <w:sz w:val="20"/>
          <w:szCs w:val="20"/>
        </w:rPr>
        <w:t>4</w:t>
      </w:r>
      <w:r w:rsidRPr="006D6165">
        <w:rPr>
          <w:rFonts w:ascii="Arial" w:hAnsi="Arial" w:cs="Arial"/>
          <w:sz w:val="20"/>
          <w:szCs w:val="20"/>
        </w:rPr>
        <w:t xml:space="preserve">) en concurrencia competitiva para la elaboración de </w:t>
      </w:r>
      <w:r w:rsidR="003A0E57" w:rsidRPr="006D6165">
        <w:rPr>
          <w:rFonts w:ascii="Arial" w:hAnsi="Arial" w:cs="Arial"/>
          <w:iCs/>
          <w:sz w:val="20"/>
          <w:szCs w:val="20"/>
        </w:rPr>
        <w:t>proyectos de digitalización de comunidades de usuarios de agua para regadío</w:t>
      </w:r>
      <w:r w:rsidR="003A0E57" w:rsidRPr="006D616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(PERTE digitalización del ciclo del agua), en el marco del Plan </w:t>
      </w:r>
      <w:r w:rsidR="00BD10D0">
        <w:rPr>
          <w:rFonts w:ascii="Arial" w:hAnsi="Arial" w:cs="Arial"/>
          <w:sz w:val="20"/>
          <w:szCs w:val="20"/>
        </w:rPr>
        <w:t>d</w:t>
      </w:r>
      <w:r w:rsidRPr="006D6165">
        <w:rPr>
          <w:rFonts w:ascii="Arial" w:hAnsi="Arial" w:cs="Arial"/>
          <w:sz w:val="20"/>
          <w:szCs w:val="20"/>
        </w:rPr>
        <w:t>e Recuperación, Transformación y Resiliencia –financiado por la Unión Eu</w:t>
      </w:r>
      <w:r w:rsidR="003B6246" w:rsidRPr="006D6165">
        <w:rPr>
          <w:rFonts w:ascii="Arial" w:hAnsi="Arial" w:cs="Arial"/>
          <w:sz w:val="20"/>
          <w:szCs w:val="20"/>
        </w:rPr>
        <w:t xml:space="preserve">ropea– </w:t>
      </w:r>
      <w:proofErr w:type="spellStart"/>
      <w:r w:rsidR="003B6246" w:rsidRPr="006D6165">
        <w:rPr>
          <w:rFonts w:ascii="Arial" w:hAnsi="Arial" w:cs="Arial"/>
          <w:sz w:val="20"/>
          <w:szCs w:val="20"/>
        </w:rPr>
        <w:t>NextGenerationEU</w:t>
      </w:r>
      <w:proofErr w:type="spellEnd"/>
      <w:r w:rsidR="003B6246" w:rsidRPr="006D6165">
        <w:rPr>
          <w:rFonts w:ascii="Arial" w:hAnsi="Arial" w:cs="Arial"/>
          <w:sz w:val="20"/>
          <w:szCs w:val="20"/>
        </w:rPr>
        <w:t>”</w:t>
      </w:r>
      <w:r w:rsidRPr="006D6165">
        <w:rPr>
          <w:rFonts w:ascii="Arial" w:hAnsi="Arial" w:cs="Arial"/>
          <w:sz w:val="20"/>
          <w:szCs w:val="20"/>
        </w:rPr>
        <w:t>.</w:t>
      </w:r>
    </w:p>
    <w:p w14:paraId="31CDE276" w14:textId="77777777" w:rsidR="00287292" w:rsidRPr="006D6165" w:rsidRDefault="00287292" w:rsidP="006D6165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</w:rPr>
      </w:pPr>
    </w:p>
    <w:p w14:paraId="1B4144C8" w14:textId="31F876C3" w:rsidR="002C73DA" w:rsidRPr="006D6165" w:rsidRDefault="00B71F6F" w:rsidP="002C73D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Que  dicha entidad se encuentra al corriente en el cumplimiento de sus obligaciones de reembolso de cualesquiera otros préstamos o anticipos concedidos anteriormente con cargo a los créditos específicamente consignados para la gestión de estos fondos en los Presupuestos Generales </w:t>
      </w:r>
      <w:r w:rsidRPr="006D6165">
        <w:rPr>
          <w:rFonts w:ascii="Arial" w:hAnsi="Arial" w:cs="Arial"/>
          <w:sz w:val="20"/>
          <w:szCs w:val="20"/>
        </w:rPr>
        <w:t>del Estado, conforme a los términos establecidos en el artículo 61.3 del Real Decreto</w:t>
      </w:r>
      <w:r w:rsidRPr="006D6165">
        <w:rPr>
          <w:rFonts w:ascii="Cambria Math" w:hAnsi="Cambria Math" w:cs="Cambria Math"/>
          <w:sz w:val="20"/>
          <w:szCs w:val="20"/>
        </w:rPr>
        <w:t>‐</w:t>
      </w:r>
      <w:r w:rsidRPr="006D6165">
        <w:rPr>
          <w:rFonts w:ascii="Arial" w:hAnsi="Arial" w:cs="Arial"/>
          <w:sz w:val="20"/>
          <w:szCs w:val="20"/>
        </w:rPr>
        <w:t>ley 36/2020, de</w:t>
      </w: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 30 de diciembre, por el que se aprueban medidas urgentes para la modernización de la Administración Pública y para la ejecución del Plan de Recuperación, Transformación y Resiliencia.</w:t>
      </w:r>
    </w:p>
    <w:p w14:paraId="7F61EAEB" w14:textId="77777777" w:rsidR="003A0E57" w:rsidRPr="006D6165" w:rsidRDefault="003A0E57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379CEF" w14:textId="77777777" w:rsidR="00D07FD4" w:rsidRDefault="00D07FD4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8A8D1E" w14:textId="7BFCE705" w:rsidR="006741C1" w:rsidRPr="006D6165" w:rsidRDefault="006741C1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t>Y para que así conste, se firma la presente.</w:t>
      </w:r>
    </w:p>
    <w:p w14:paraId="56BE7FDD" w14:textId="3EBD10B9" w:rsidR="00656B04" w:rsidRPr="006D6165" w:rsidRDefault="006741C1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lastRenderedPageBreak/>
        <w:t>A fecha de firma electrónica.</w:t>
      </w:r>
    </w:p>
    <w:sectPr w:rsidR="00656B04" w:rsidRPr="006D6165" w:rsidSect="009031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238B" w14:textId="77777777" w:rsidR="00805230" w:rsidRDefault="00805230" w:rsidP="0073260F">
      <w:pPr>
        <w:spacing w:after="0" w:line="240" w:lineRule="auto"/>
      </w:pPr>
      <w:r>
        <w:separator/>
      </w:r>
    </w:p>
  </w:endnote>
  <w:endnote w:type="continuationSeparator" w:id="0">
    <w:p w14:paraId="03D4E873" w14:textId="77777777" w:rsidR="00805230" w:rsidRDefault="00805230" w:rsidP="007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4A5D6" w14:textId="77777777" w:rsidR="003E0DFD" w:rsidRDefault="003E0D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84DE" w14:textId="77777777" w:rsidR="003E0DFD" w:rsidRDefault="003E0DF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59FF" w14:textId="77777777" w:rsidR="003E0DFD" w:rsidRDefault="003E0D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46C75" w14:textId="77777777" w:rsidR="00805230" w:rsidRDefault="00805230" w:rsidP="0073260F">
      <w:pPr>
        <w:spacing w:after="0" w:line="240" w:lineRule="auto"/>
      </w:pPr>
      <w:r>
        <w:separator/>
      </w:r>
    </w:p>
  </w:footnote>
  <w:footnote w:type="continuationSeparator" w:id="0">
    <w:p w14:paraId="6D5E0629" w14:textId="77777777" w:rsidR="00805230" w:rsidRDefault="00805230" w:rsidP="007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47D0C" w14:textId="77777777" w:rsidR="003E0DFD" w:rsidRDefault="003E0D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DFEB" w14:textId="77777777" w:rsidR="00827741" w:rsidRDefault="00827741" w:rsidP="00827741">
    <w:pPr>
      <w:pStyle w:val="Encabezado"/>
      <w:rPr>
        <w:noProof/>
        <w:lang w:eastAsia="es-ES"/>
      </w:rPr>
    </w:pPr>
    <w:r w:rsidRPr="00D2553A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3D9428F7" wp14:editId="77F46976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84630" cy="483235"/>
          <wp:effectExtent l="0" t="0" r="1270" b="0"/>
          <wp:wrapNone/>
          <wp:docPr id="135350062" name="image3.jpeg" descr="Interfaz de usuario gráfica, Aplicación  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48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3A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67EDCFC" wp14:editId="7BF098F8">
          <wp:simplePos x="0" y="0"/>
          <wp:positionH relativeFrom="margin">
            <wp:posOffset>2567940</wp:posOffset>
          </wp:positionH>
          <wp:positionV relativeFrom="paragraph">
            <wp:posOffset>-48895</wp:posOffset>
          </wp:positionV>
          <wp:extent cx="608330" cy="481965"/>
          <wp:effectExtent l="0" t="0" r="1270" b="0"/>
          <wp:wrapNone/>
          <wp:docPr id="765328126" name="Imagen 1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328126" name="Imagen 11" descr="Logotip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83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553A">
      <w:rPr>
        <w:noProof/>
        <w:lang w:eastAsia="es-ES"/>
      </w:rPr>
      <w:drawing>
        <wp:inline distT="0" distB="0" distL="0" distR="0" wp14:anchorId="582951D0" wp14:editId="44346BCF">
          <wp:extent cx="1965600" cy="482400"/>
          <wp:effectExtent l="0" t="0" r="0" b="0"/>
          <wp:docPr id="1605560699" name="Imagen 1605560699" descr="C:\Users\rales1\AppData\Local\Microsoft\Windows\INetCache\Content.MSO\29ADB82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560699" name="Imagen 1605560699" descr="C:\Users\rales1\AppData\Local\Microsoft\Windows\INetCache\Content.MSO\29ADB82A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</w:t>
    </w:r>
    <w:r w:rsidRPr="00D2553A">
      <w:rPr>
        <w:noProof/>
        <w:lang w:eastAsia="es-ES"/>
      </w:rPr>
      <w:tab/>
      <w:t xml:space="preserve">   </w:t>
    </w:r>
    <w:r w:rsidRPr="00D2553A">
      <w:rPr>
        <w:noProof/>
        <w:lang w:eastAsia="es-ES"/>
      </w:rPr>
      <w:tab/>
    </w:r>
  </w:p>
  <w:p w14:paraId="6F46BAE4" w14:textId="632FD97D" w:rsidR="003E0DFD" w:rsidRDefault="003E0DFD">
    <w:pPr>
      <w:pStyle w:val="Encabezado"/>
    </w:pPr>
  </w:p>
  <w:p w14:paraId="4B1F3A0B" w14:textId="38FD7A39" w:rsidR="0073260F" w:rsidRDefault="007326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C0688" w14:textId="77777777" w:rsidR="003E0DFD" w:rsidRDefault="003E0D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C57D8C"/>
    <w:multiLevelType w:val="hybridMultilevel"/>
    <w:tmpl w:val="8DD21C5E"/>
    <w:lvl w:ilvl="0" w:tplc="81E497D0">
      <w:numFmt w:val="bullet"/>
      <w:lvlText w:val=""/>
      <w:lvlJc w:val="left"/>
      <w:pPr>
        <w:ind w:left="755" w:hanging="2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8"/>
        <w:szCs w:val="18"/>
        <w:lang w:val="es-ES" w:eastAsia="en-US" w:bidi="ar-SA"/>
      </w:rPr>
    </w:lvl>
    <w:lvl w:ilvl="1" w:tplc="901A9E28">
      <w:numFmt w:val="bullet"/>
      <w:lvlText w:val="□"/>
      <w:lvlJc w:val="left"/>
      <w:pPr>
        <w:ind w:left="1423" w:hanging="3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50"/>
        <w:sz w:val="29"/>
        <w:szCs w:val="29"/>
        <w:lang w:val="es-ES" w:eastAsia="en-US" w:bidi="ar-SA"/>
      </w:rPr>
    </w:lvl>
    <w:lvl w:ilvl="2" w:tplc="E4FE75D8">
      <w:numFmt w:val="bullet"/>
      <w:lvlText w:val="•"/>
      <w:lvlJc w:val="left"/>
      <w:pPr>
        <w:ind w:left="2296" w:hanging="335"/>
      </w:pPr>
      <w:rPr>
        <w:rFonts w:hint="default"/>
        <w:lang w:val="es-ES" w:eastAsia="en-US" w:bidi="ar-SA"/>
      </w:rPr>
    </w:lvl>
    <w:lvl w:ilvl="3" w:tplc="817C06B0">
      <w:numFmt w:val="bullet"/>
      <w:lvlText w:val="•"/>
      <w:lvlJc w:val="left"/>
      <w:pPr>
        <w:ind w:left="3172" w:hanging="335"/>
      </w:pPr>
      <w:rPr>
        <w:rFonts w:hint="default"/>
        <w:lang w:val="es-ES" w:eastAsia="en-US" w:bidi="ar-SA"/>
      </w:rPr>
    </w:lvl>
    <w:lvl w:ilvl="4" w:tplc="02663E32">
      <w:numFmt w:val="bullet"/>
      <w:lvlText w:val="•"/>
      <w:lvlJc w:val="left"/>
      <w:pPr>
        <w:ind w:left="4048" w:hanging="335"/>
      </w:pPr>
      <w:rPr>
        <w:rFonts w:hint="default"/>
        <w:lang w:val="es-ES" w:eastAsia="en-US" w:bidi="ar-SA"/>
      </w:rPr>
    </w:lvl>
    <w:lvl w:ilvl="5" w:tplc="7BD87CC4">
      <w:numFmt w:val="bullet"/>
      <w:lvlText w:val="•"/>
      <w:lvlJc w:val="left"/>
      <w:pPr>
        <w:ind w:left="4924" w:hanging="335"/>
      </w:pPr>
      <w:rPr>
        <w:rFonts w:hint="default"/>
        <w:lang w:val="es-ES" w:eastAsia="en-US" w:bidi="ar-SA"/>
      </w:rPr>
    </w:lvl>
    <w:lvl w:ilvl="6" w:tplc="0A22FE48">
      <w:numFmt w:val="bullet"/>
      <w:lvlText w:val="•"/>
      <w:lvlJc w:val="left"/>
      <w:pPr>
        <w:ind w:left="5800" w:hanging="335"/>
      </w:pPr>
      <w:rPr>
        <w:rFonts w:hint="default"/>
        <w:lang w:val="es-ES" w:eastAsia="en-US" w:bidi="ar-SA"/>
      </w:rPr>
    </w:lvl>
    <w:lvl w:ilvl="7" w:tplc="A7CE0580">
      <w:numFmt w:val="bullet"/>
      <w:lvlText w:val="•"/>
      <w:lvlJc w:val="left"/>
      <w:pPr>
        <w:ind w:left="6677" w:hanging="335"/>
      </w:pPr>
      <w:rPr>
        <w:rFonts w:hint="default"/>
        <w:lang w:val="es-ES" w:eastAsia="en-US" w:bidi="ar-SA"/>
      </w:rPr>
    </w:lvl>
    <w:lvl w:ilvl="8" w:tplc="53FC53D2">
      <w:numFmt w:val="bullet"/>
      <w:lvlText w:val="•"/>
      <w:lvlJc w:val="left"/>
      <w:pPr>
        <w:ind w:left="7553" w:hanging="335"/>
      </w:pPr>
      <w:rPr>
        <w:rFonts w:hint="default"/>
        <w:lang w:val="es-ES" w:eastAsia="en-US" w:bidi="ar-SA"/>
      </w:rPr>
    </w:lvl>
  </w:abstractNum>
  <w:num w:numId="1" w16cid:durableId="188628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E8"/>
    <w:rsid w:val="00001C25"/>
    <w:rsid w:val="000025D4"/>
    <w:rsid w:val="0000471A"/>
    <w:rsid w:val="00012FFA"/>
    <w:rsid w:val="000152AE"/>
    <w:rsid w:val="00025327"/>
    <w:rsid w:val="000611E8"/>
    <w:rsid w:val="00094991"/>
    <w:rsid w:val="000A695D"/>
    <w:rsid w:val="000B6250"/>
    <w:rsid w:val="0010414D"/>
    <w:rsid w:val="00105491"/>
    <w:rsid w:val="00111923"/>
    <w:rsid w:val="00147DF4"/>
    <w:rsid w:val="0016416D"/>
    <w:rsid w:val="00195456"/>
    <w:rsid w:val="001D5A3A"/>
    <w:rsid w:val="001F19A7"/>
    <w:rsid w:val="00216433"/>
    <w:rsid w:val="00235611"/>
    <w:rsid w:val="00251C02"/>
    <w:rsid w:val="0025480E"/>
    <w:rsid w:val="00287292"/>
    <w:rsid w:val="002A0283"/>
    <w:rsid w:val="002A5DDB"/>
    <w:rsid w:val="002B0878"/>
    <w:rsid w:val="002B7AD2"/>
    <w:rsid w:val="002C73DA"/>
    <w:rsid w:val="002F2F84"/>
    <w:rsid w:val="00344D5B"/>
    <w:rsid w:val="00381DAD"/>
    <w:rsid w:val="003911EC"/>
    <w:rsid w:val="00395821"/>
    <w:rsid w:val="0039599B"/>
    <w:rsid w:val="003A0E57"/>
    <w:rsid w:val="003B6246"/>
    <w:rsid w:val="003C6F84"/>
    <w:rsid w:val="003E0DFD"/>
    <w:rsid w:val="003E424C"/>
    <w:rsid w:val="003F23F6"/>
    <w:rsid w:val="00541039"/>
    <w:rsid w:val="005520EF"/>
    <w:rsid w:val="005A7B9A"/>
    <w:rsid w:val="005C3A89"/>
    <w:rsid w:val="005C6FD8"/>
    <w:rsid w:val="006503A6"/>
    <w:rsid w:val="00656B04"/>
    <w:rsid w:val="00670904"/>
    <w:rsid w:val="006741C1"/>
    <w:rsid w:val="006A639F"/>
    <w:rsid w:val="006C2815"/>
    <w:rsid w:val="006D6165"/>
    <w:rsid w:val="006E7E4B"/>
    <w:rsid w:val="007251D7"/>
    <w:rsid w:val="0073260F"/>
    <w:rsid w:val="00770B01"/>
    <w:rsid w:val="007768C0"/>
    <w:rsid w:val="00787C50"/>
    <w:rsid w:val="007E1A9B"/>
    <w:rsid w:val="00805230"/>
    <w:rsid w:val="00827741"/>
    <w:rsid w:val="00833514"/>
    <w:rsid w:val="008B289E"/>
    <w:rsid w:val="008B3770"/>
    <w:rsid w:val="008E1186"/>
    <w:rsid w:val="008E28C4"/>
    <w:rsid w:val="00900285"/>
    <w:rsid w:val="009031E1"/>
    <w:rsid w:val="0091002E"/>
    <w:rsid w:val="00945118"/>
    <w:rsid w:val="00950F9A"/>
    <w:rsid w:val="0096366D"/>
    <w:rsid w:val="00983B87"/>
    <w:rsid w:val="009D2C69"/>
    <w:rsid w:val="009F7BCF"/>
    <w:rsid w:val="00A0709B"/>
    <w:rsid w:val="00A70109"/>
    <w:rsid w:val="00B41113"/>
    <w:rsid w:val="00B71F6F"/>
    <w:rsid w:val="00B96083"/>
    <w:rsid w:val="00BB024C"/>
    <w:rsid w:val="00BD10D0"/>
    <w:rsid w:val="00BD1D4A"/>
    <w:rsid w:val="00C06D46"/>
    <w:rsid w:val="00C40FBE"/>
    <w:rsid w:val="00C5368A"/>
    <w:rsid w:val="00C74865"/>
    <w:rsid w:val="00CE75A0"/>
    <w:rsid w:val="00CF2349"/>
    <w:rsid w:val="00CF48DE"/>
    <w:rsid w:val="00CF56B3"/>
    <w:rsid w:val="00D05460"/>
    <w:rsid w:val="00D07FD4"/>
    <w:rsid w:val="00D70A31"/>
    <w:rsid w:val="00D73B75"/>
    <w:rsid w:val="00D859E4"/>
    <w:rsid w:val="00D91DA8"/>
    <w:rsid w:val="00DA0BA2"/>
    <w:rsid w:val="00DB32D0"/>
    <w:rsid w:val="00DF2FC2"/>
    <w:rsid w:val="00E546FA"/>
    <w:rsid w:val="00E67BEF"/>
    <w:rsid w:val="00E75BE1"/>
    <w:rsid w:val="00E820C7"/>
    <w:rsid w:val="00E8690B"/>
    <w:rsid w:val="00E93288"/>
    <w:rsid w:val="00E942CB"/>
    <w:rsid w:val="00EA140F"/>
    <w:rsid w:val="00F13810"/>
    <w:rsid w:val="00F3679A"/>
    <w:rsid w:val="00FD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D31D16"/>
  <w15:chartTrackingRefBased/>
  <w15:docId w15:val="{27226881-6F4A-4D37-B9C8-8E3A2A1C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F56B3"/>
    <w:pPr>
      <w:widowControl w:val="0"/>
      <w:autoSpaceDE w:val="0"/>
      <w:autoSpaceDN w:val="0"/>
      <w:spacing w:after="0" w:line="240" w:lineRule="auto"/>
      <w:ind w:left="615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styleId="Ttulo3">
    <w:name w:val="heading 3"/>
    <w:basedOn w:val="Normal"/>
    <w:link w:val="Ttulo3Car"/>
    <w:uiPriority w:val="1"/>
    <w:qFormat/>
    <w:rsid w:val="00CF56B3"/>
    <w:pPr>
      <w:widowControl w:val="0"/>
      <w:autoSpaceDE w:val="0"/>
      <w:autoSpaceDN w:val="0"/>
      <w:spacing w:after="0" w:line="240" w:lineRule="auto"/>
      <w:ind w:left="334" w:hanging="334"/>
      <w:jc w:val="center"/>
      <w:outlineLvl w:val="2"/>
    </w:pPr>
    <w:rPr>
      <w:rFonts w:ascii="Verdana" w:eastAsia="Verdana" w:hAnsi="Verdana" w:cs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60F"/>
  </w:style>
  <w:style w:type="paragraph" w:styleId="Piedepgina">
    <w:name w:val="footer"/>
    <w:basedOn w:val="Normal"/>
    <w:link w:val="Piedepgina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60F"/>
  </w:style>
  <w:style w:type="paragraph" w:customStyle="1" w:styleId="paragraph">
    <w:name w:val="paragraph"/>
    <w:basedOn w:val="Normal"/>
    <w:rsid w:val="003A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3A0E57"/>
  </w:style>
  <w:style w:type="character" w:customStyle="1" w:styleId="eop">
    <w:name w:val="eop"/>
    <w:basedOn w:val="Fuentedeprrafopredeter"/>
    <w:rsid w:val="003A0E57"/>
  </w:style>
  <w:style w:type="paragraph" w:customStyle="1" w:styleId="Default">
    <w:name w:val="Default"/>
    <w:rsid w:val="003A0E57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CF56B3"/>
    <w:rPr>
      <w:rFonts w:ascii="Verdana" w:eastAsia="Verdana" w:hAnsi="Verdana" w:cs="Verdana"/>
      <w:b/>
      <w:bCs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1"/>
    <w:rsid w:val="00CF56B3"/>
    <w:rPr>
      <w:rFonts w:ascii="Verdana" w:eastAsia="Verdana" w:hAnsi="Verdana" w:cs="Verdana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CF56B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F56B3"/>
    <w:rPr>
      <w:rFonts w:ascii="Verdana" w:eastAsia="Verdana" w:hAnsi="Verdana" w:cs="Verdana"/>
      <w:sz w:val="18"/>
      <w:szCs w:val="18"/>
    </w:rPr>
  </w:style>
  <w:style w:type="paragraph" w:styleId="Prrafodelista">
    <w:name w:val="List Paragraph"/>
    <w:basedOn w:val="Normal"/>
    <w:uiPriority w:val="34"/>
    <w:qFormat/>
    <w:rsid w:val="00CF56B3"/>
    <w:pPr>
      <w:widowControl w:val="0"/>
      <w:autoSpaceDE w:val="0"/>
      <w:autoSpaceDN w:val="0"/>
      <w:spacing w:after="0" w:line="240" w:lineRule="auto"/>
      <w:ind w:left="1038" w:hanging="230"/>
    </w:pPr>
    <w:rPr>
      <w:rFonts w:ascii="Verdana" w:eastAsia="Verdana" w:hAnsi="Verdana" w:cs="Verdana"/>
    </w:rPr>
  </w:style>
  <w:style w:type="paragraph" w:styleId="Revisin">
    <w:name w:val="Revision"/>
    <w:hidden/>
    <w:uiPriority w:val="99"/>
    <w:semiHidden/>
    <w:rsid w:val="00E546F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3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B75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F2FC2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DF2F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F2F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F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2F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2F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1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85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3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7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7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33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1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0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89398A737E4EF98006CFA83D846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E097C-874F-4DDD-9052-834E2EF47C78}"/>
      </w:docPartPr>
      <w:docPartBody>
        <w:p w:rsidR="00734F36" w:rsidRDefault="00734F36" w:rsidP="00734F36">
          <w:pPr>
            <w:pStyle w:val="EF89398A737E4EF98006CFA83D84677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10DD96D4FF246F0ACC63A4CEA014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A1F20-4A77-4EE3-87EC-8BAE0B7CF161}"/>
      </w:docPartPr>
      <w:docPartBody>
        <w:p w:rsidR="00734F36" w:rsidRDefault="00734F36" w:rsidP="00734F36">
          <w:pPr>
            <w:pStyle w:val="710DD96D4FF246F0ACC63A4CEA01461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F266994734743FD9D93A4586838B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05B7F-22A6-414D-9D34-DA66D4EDB210}"/>
      </w:docPartPr>
      <w:docPartBody>
        <w:p w:rsidR="00734F36" w:rsidRDefault="00734F36" w:rsidP="00734F36">
          <w:pPr>
            <w:pStyle w:val="1F266994734743FD9D93A4586838B98C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F48FD2FA06B41B3970887C8B7809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D0DB3-3408-45B8-957C-4F1E639A60D4}"/>
      </w:docPartPr>
      <w:docPartBody>
        <w:p w:rsidR="00734F36" w:rsidRDefault="00734F36" w:rsidP="00734F36">
          <w:pPr>
            <w:pStyle w:val="8F48FD2FA06B41B3970887C8B7809D82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5AE7D8074D342BEBF505B0A617BD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8815F-D967-43A8-B023-F3D3E860AD53}"/>
      </w:docPartPr>
      <w:docPartBody>
        <w:p w:rsidR="00734F36" w:rsidRDefault="00734F36" w:rsidP="00734F36">
          <w:pPr>
            <w:pStyle w:val="95AE7D8074D342BEBF505B0A617BD8D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B70B73BF66949E7B869170004BF8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C3621-C191-481F-9622-D5EED1FC9CCC}"/>
      </w:docPartPr>
      <w:docPartBody>
        <w:p w:rsidR="00734F36" w:rsidRDefault="00734F36" w:rsidP="00734F36">
          <w:pPr>
            <w:pStyle w:val="CB70B73BF66949E7B869170004BF86DE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D78A4BF24EC4CE9BB3D8D3379421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CACFC-0207-43B7-B98A-D0D7EAAA4BE9}"/>
      </w:docPartPr>
      <w:docPartBody>
        <w:p w:rsidR="00734F36" w:rsidRDefault="00734F36" w:rsidP="00734F36">
          <w:pPr>
            <w:pStyle w:val="5D78A4BF24EC4CE9BB3D8D3379421E25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F36"/>
    <w:rsid w:val="0025480E"/>
    <w:rsid w:val="003C6F84"/>
    <w:rsid w:val="003F23F6"/>
    <w:rsid w:val="005C6FD8"/>
    <w:rsid w:val="00734F36"/>
    <w:rsid w:val="00770B01"/>
    <w:rsid w:val="007768C0"/>
    <w:rsid w:val="007B009F"/>
    <w:rsid w:val="00A70109"/>
    <w:rsid w:val="00BD1D4A"/>
    <w:rsid w:val="00C40FBE"/>
    <w:rsid w:val="00C5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34F36"/>
    <w:rPr>
      <w:color w:val="808080"/>
    </w:rPr>
  </w:style>
  <w:style w:type="paragraph" w:customStyle="1" w:styleId="EF89398A737E4EF98006CFA83D846774">
    <w:name w:val="EF89398A737E4EF98006CFA83D846774"/>
    <w:rsid w:val="00734F36"/>
  </w:style>
  <w:style w:type="paragraph" w:customStyle="1" w:styleId="710DD96D4FF246F0ACC63A4CEA014619">
    <w:name w:val="710DD96D4FF246F0ACC63A4CEA014619"/>
    <w:rsid w:val="00734F36"/>
  </w:style>
  <w:style w:type="paragraph" w:customStyle="1" w:styleId="1F266994734743FD9D93A4586838B98C">
    <w:name w:val="1F266994734743FD9D93A4586838B98C"/>
    <w:rsid w:val="00734F36"/>
  </w:style>
  <w:style w:type="paragraph" w:customStyle="1" w:styleId="8F48FD2FA06B41B3970887C8B7809D82">
    <w:name w:val="8F48FD2FA06B41B3970887C8B7809D82"/>
    <w:rsid w:val="00734F36"/>
  </w:style>
  <w:style w:type="paragraph" w:customStyle="1" w:styleId="95AE7D8074D342BEBF505B0A617BD8D4">
    <w:name w:val="95AE7D8074D342BEBF505B0A617BD8D4"/>
    <w:rsid w:val="00734F36"/>
  </w:style>
  <w:style w:type="paragraph" w:customStyle="1" w:styleId="CB70B73BF66949E7B869170004BF86DE">
    <w:name w:val="CB70B73BF66949E7B869170004BF86DE"/>
    <w:rsid w:val="00734F36"/>
  </w:style>
  <w:style w:type="paragraph" w:customStyle="1" w:styleId="5D78A4BF24EC4CE9BB3D8D3379421E25">
    <w:name w:val="5D78A4BF24EC4CE9BB3D8D3379421E25"/>
    <w:rsid w:val="00734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Sánchez-Escariche Gasch, María</cp:lastModifiedBy>
  <cp:revision>4</cp:revision>
  <cp:lastPrinted>2024-01-22T11:26:00Z</cp:lastPrinted>
  <dcterms:created xsi:type="dcterms:W3CDTF">2024-11-21T13:03:00Z</dcterms:created>
  <dcterms:modified xsi:type="dcterms:W3CDTF">2025-11-13T12:12:00Z</dcterms:modified>
</cp:coreProperties>
</file>